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7BF7939F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4E351253" w:rsidR="00253A92" w:rsidRPr="00881E55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CA4108" w:rsidRPr="00CA4108">
        <w:rPr>
          <w:rFonts w:ascii="Arial" w:hAnsi="Arial"/>
          <w:b/>
          <w:bCs/>
          <w:color w:val="0070C0"/>
          <w:sz w:val="22"/>
        </w:rPr>
        <w:t>Direct-to-Consumer Laboratory Testing and Patient Empowerment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CA4108">
        <w:rPr>
          <w:rFonts w:ascii="Arial" w:hAnsi="Arial"/>
          <w:b/>
          <w:bCs/>
          <w:color w:val="0070C0"/>
          <w:sz w:val="22"/>
          <w:lang w:val="en-GB"/>
        </w:rPr>
        <w:t>DTCT-PE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7DE7BCF5" w14:textId="4CF16294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</w:t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>2.</w:t>
            </w:r>
          </w:p>
        </w:tc>
        <w:tc>
          <w:tcPr>
            <w:tcW w:w="4006" w:type="pct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Paragrafoelenco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Paragrafoelenco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1191" w14:textId="77777777" w:rsidR="00B87481" w:rsidRDefault="00B87481">
      <w:r>
        <w:separator/>
      </w:r>
    </w:p>
  </w:endnote>
  <w:endnote w:type="continuationSeparator" w:id="0">
    <w:p w14:paraId="3373EF88" w14:textId="77777777" w:rsidR="00B87481" w:rsidRDefault="00B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638E" w14:textId="77777777" w:rsidR="00B87481" w:rsidRDefault="00B87481">
      <w:r>
        <w:separator/>
      </w:r>
    </w:p>
  </w:footnote>
  <w:footnote w:type="continuationSeparator" w:id="0">
    <w:p w14:paraId="638C6707" w14:textId="77777777" w:rsidR="00B87481" w:rsidRDefault="00B8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539">
    <w:abstractNumId w:val="2"/>
  </w:num>
  <w:num w:numId="2" w16cid:durableId="267928718">
    <w:abstractNumId w:val="5"/>
  </w:num>
  <w:num w:numId="3" w16cid:durableId="268314542">
    <w:abstractNumId w:val="3"/>
  </w:num>
  <w:num w:numId="4" w16cid:durableId="1061248051">
    <w:abstractNumId w:val="1"/>
  </w:num>
  <w:num w:numId="5" w16cid:durableId="1057126896">
    <w:abstractNumId w:val="7"/>
  </w:num>
  <w:num w:numId="6" w16cid:durableId="1263760555">
    <w:abstractNumId w:val="6"/>
  </w:num>
  <w:num w:numId="7" w16cid:durableId="373703303">
    <w:abstractNumId w:val="4"/>
  </w:num>
  <w:num w:numId="8" w16cid:durableId="582569837">
    <w:abstractNumId w:val="9"/>
  </w:num>
  <w:num w:numId="9" w16cid:durableId="96951698">
    <w:abstractNumId w:val="8"/>
  </w:num>
  <w:num w:numId="10" w16cid:durableId="1956013212">
    <w:abstractNumId w:val="8"/>
  </w:num>
  <w:num w:numId="11" w16cid:durableId="1096170996">
    <w:abstractNumId w:val="0"/>
  </w:num>
  <w:num w:numId="12" w16cid:durableId="101839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942BF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B2B09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A7AD2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D5F7C"/>
    <w:rsid w:val="005F2B19"/>
    <w:rsid w:val="005F5845"/>
    <w:rsid w:val="00610A32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E55"/>
    <w:rsid w:val="00881FF2"/>
    <w:rsid w:val="008828BE"/>
    <w:rsid w:val="0089677C"/>
    <w:rsid w:val="008A13E3"/>
    <w:rsid w:val="008B1764"/>
    <w:rsid w:val="008C70F4"/>
    <w:rsid w:val="008F37E6"/>
    <w:rsid w:val="008F4A90"/>
    <w:rsid w:val="00903F7D"/>
    <w:rsid w:val="009168F8"/>
    <w:rsid w:val="00923AA3"/>
    <w:rsid w:val="009469E5"/>
    <w:rsid w:val="009636C3"/>
    <w:rsid w:val="00967B00"/>
    <w:rsid w:val="00971693"/>
    <w:rsid w:val="009B187C"/>
    <w:rsid w:val="009B3560"/>
    <w:rsid w:val="009B466A"/>
    <w:rsid w:val="009C1CCA"/>
    <w:rsid w:val="00A00CC5"/>
    <w:rsid w:val="00A138B7"/>
    <w:rsid w:val="00A174A9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108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031D9"/>
    <w:rsid w:val="00E53C8F"/>
    <w:rsid w:val="00E63803"/>
    <w:rsid w:val="00E76DBE"/>
    <w:rsid w:val="00EA0F6B"/>
    <w:rsid w:val="00EB5EE4"/>
    <w:rsid w:val="00EC0291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  <w:style w:type="character" w:customStyle="1" w:styleId="Titolo4Carattere">
    <w:name w:val="Titolo 4 Carattere"/>
    <w:basedOn w:val="Carpredefinitoparagrafo"/>
    <w:link w:val="Titolo4"/>
    <w:semiHidden/>
    <w:rsid w:val="00CA4108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nb-NO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Alessia Carere</cp:lastModifiedBy>
  <cp:revision>17</cp:revision>
  <dcterms:created xsi:type="dcterms:W3CDTF">2024-10-28T11:58:00Z</dcterms:created>
  <dcterms:modified xsi:type="dcterms:W3CDTF">2025-11-10T08:44:00Z</dcterms:modified>
</cp:coreProperties>
</file>